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7100.0" w:type="dxa"/>
        <w:jc w:val="left"/>
        <w:tblBorders>
          <w:top w:color="dddddd" w:space="0" w:sz="6" w:val="single"/>
          <w:left w:color="dddddd" w:space="0" w:sz="6" w:val="single"/>
          <w:bottom w:color="dddddd" w:space="0" w:sz="6" w:val="single"/>
          <w:right w:color="dddddd" w:space="0" w:sz="6" w:val="single"/>
        </w:tblBorders>
        <w:tblLayout w:type="fixed"/>
        <w:tblLook w:val="0400"/>
      </w:tblPr>
      <w:tblGrid>
        <w:gridCol w:w="9917"/>
        <w:gridCol w:w="2536"/>
        <w:gridCol w:w="2499"/>
        <w:gridCol w:w="2148"/>
        <w:tblGridChange w:id="0">
          <w:tblGrid>
            <w:gridCol w:w="9917"/>
            <w:gridCol w:w="2536"/>
            <w:gridCol w:w="2499"/>
            <w:gridCol w:w="2148"/>
          </w:tblGrid>
        </w:tblGridChange>
      </w:tblGrid>
      <w:tr>
        <w:trPr>
          <w:cantSplit w:val="0"/>
          <w:tblHeader w:val="1"/>
        </w:trPr>
        <w:tc>
          <w:tcPr>
            <w:gridSpan w:val="4"/>
            <w:tcBorders>
              <w:top w:color="000000" w:space="0" w:sz="4" w:val="single"/>
              <w:left w:color="000000" w:space="0" w:sz="4" w:val="single"/>
              <w:bottom w:color="000000" w:space="0" w:sz="4" w:val="single"/>
              <w:right w:color="000000" w:space="0" w:sz="4" w:val="single"/>
            </w:tcBorders>
            <w:shd w:fill="f0f0f0" w:val="clear"/>
            <w:tcMar>
              <w:top w:w="75.0" w:type="dxa"/>
              <w:left w:w="75.0" w:type="dxa"/>
              <w:bottom w:w="75.0" w:type="dxa"/>
              <w:right w:w="75.0" w:type="dxa"/>
            </w:tcMar>
            <w:vAlign w:val="center"/>
          </w:tcPr>
          <w:p w:rsidR="00000000" w:rsidDel="00000000" w:rsidP="00000000" w:rsidRDefault="00000000" w:rsidRPr="00000000" w14:paraId="00000002">
            <w:pPr>
              <w:spacing w:after="173" w:lineRule="auto"/>
              <w:jc w:val="center"/>
              <w:rPr>
                <w:rFonts w:ascii="Inter" w:cs="Inter" w:eastAsia="Inter" w:hAnsi="Inter"/>
                <w:b w:val="1"/>
                <w:bCs w:val="1"/>
                <w:color w:val="333333"/>
                <w:sz w:val="27"/>
                <w:szCs w:val="27"/>
              </w:rPr>
            </w:pPr>
            <w:r w:rsidDel="00000000" w:rsidR="00000000" w:rsidRPr="00000000">
              <w:rPr>
                <w:rFonts w:ascii="Inter" w:cs="Inter" w:eastAsia="Inter" w:hAnsi="Inter"/>
                <w:b w:val="1"/>
                <w:bCs w:val="1"/>
                <w:color w:val="333333"/>
                <w:sz w:val="27"/>
                <w:szCs w:val="27"/>
                <w:rtl w:val="0"/>
              </w:rPr>
              <w:t xml:space="preserve">Renseignements requis pour les factures de vente</w:t>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f0f0f0" w:val="clear"/>
            <w:tcMar>
              <w:top w:w="75.0" w:type="dxa"/>
              <w:left w:w="75.0" w:type="dxa"/>
              <w:bottom w:w="75.0" w:type="dxa"/>
              <w:right w:w="75.0" w:type="dxa"/>
            </w:tcMar>
            <w:vAlign w:val="bottom"/>
          </w:tcPr>
          <w:p w:rsidR="00000000" w:rsidDel="00000000" w:rsidP="00000000" w:rsidRDefault="00000000" w:rsidRPr="00000000" w14:paraId="00000006">
            <w:pPr>
              <w:rPr>
                <w:rFonts w:ascii="Inter" w:cs="Inter" w:eastAsia="Inter" w:hAnsi="Inter"/>
                <w:b w:val="1"/>
                <w:bCs w:val="1"/>
              </w:rPr>
            </w:pPr>
            <w:r w:rsidDel="00000000" w:rsidR="00000000" w:rsidRPr="00000000">
              <w:rPr>
                <w:rFonts w:ascii="Inter" w:cs="Inter" w:eastAsia="Inter" w:hAnsi="Inter"/>
                <w:b w:val="1"/>
                <w:bCs w:val="1"/>
                <w:rtl w:val="0"/>
              </w:rPr>
              <w:t xml:space="preserve">Renseignements requis</w:t>
            </w:r>
          </w:p>
        </w:tc>
        <w:tc>
          <w:tcPr>
            <w:tcBorders>
              <w:top w:color="000000" w:space="0" w:sz="4" w:val="single"/>
              <w:left w:color="000000" w:space="0" w:sz="4" w:val="single"/>
              <w:bottom w:color="000000" w:space="0" w:sz="4" w:val="single"/>
              <w:right w:color="000000" w:space="0" w:sz="4" w:val="single"/>
            </w:tcBorders>
            <w:shd w:fill="f0f0f0" w:val="clear"/>
            <w:tcMar>
              <w:top w:w="75.0" w:type="dxa"/>
              <w:left w:w="75.0" w:type="dxa"/>
              <w:bottom w:w="75.0" w:type="dxa"/>
              <w:right w:w="75.0" w:type="dxa"/>
            </w:tcMar>
            <w:vAlign w:val="bottom"/>
          </w:tcPr>
          <w:p w:rsidR="00000000" w:rsidDel="00000000" w:rsidP="00000000" w:rsidRDefault="00000000" w:rsidRPr="00000000" w14:paraId="00000007">
            <w:pPr>
              <w:rPr>
                <w:rFonts w:ascii="Inter" w:cs="Inter" w:eastAsia="Inter" w:hAnsi="Inter"/>
                <w:b w:val="1"/>
                <w:bCs w:val="1"/>
              </w:rPr>
            </w:pPr>
            <w:r w:rsidDel="00000000" w:rsidR="00000000" w:rsidRPr="00000000">
              <w:rPr>
                <w:rFonts w:ascii="Inter" w:cs="Inter" w:eastAsia="Inter" w:hAnsi="Inter"/>
                <w:b w:val="1"/>
                <w:bCs w:val="1"/>
                <w:rtl w:val="0"/>
              </w:rPr>
              <w:t xml:space="preserve">Vente totale inférieure à 100$ </w:t>
            </w:r>
          </w:p>
        </w:tc>
        <w:tc>
          <w:tcPr>
            <w:tcBorders>
              <w:top w:color="000000" w:space="0" w:sz="4" w:val="single"/>
              <w:left w:color="000000" w:space="0" w:sz="4" w:val="single"/>
              <w:bottom w:color="000000" w:space="0" w:sz="4" w:val="single"/>
              <w:right w:color="000000" w:space="0" w:sz="4" w:val="single"/>
            </w:tcBorders>
            <w:shd w:fill="f0f0f0" w:val="clear"/>
            <w:tcMar>
              <w:top w:w="75.0" w:type="dxa"/>
              <w:left w:w="75.0" w:type="dxa"/>
              <w:bottom w:w="75.0" w:type="dxa"/>
              <w:right w:w="75.0" w:type="dxa"/>
            </w:tcMar>
            <w:vAlign w:val="bottom"/>
          </w:tcPr>
          <w:p w:rsidR="00000000" w:rsidDel="00000000" w:rsidP="00000000" w:rsidRDefault="00000000" w:rsidRPr="00000000" w14:paraId="00000008">
            <w:pPr>
              <w:rPr>
                <w:rFonts w:ascii="Inter" w:cs="Inter" w:eastAsia="Inter" w:hAnsi="Inter"/>
                <w:b w:val="1"/>
                <w:bCs w:val="1"/>
              </w:rPr>
            </w:pPr>
            <w:r w:rsidDel="00000000" w:rsidR="00000000" w:rsidRPr="00000000">
              <w:rPr>
                <w:rFonts w:ascii="Inter" w:cs="Inter" w:eastAsia="Inter" w:hAnsi="Inter"/>
                <w:b w:val="1"/>
                <w:bCs w:val="1"/>
                <w:rtl w:val="0"/>
              </w:rPr>
              <w:t xml:space="preserve">Vente totale de 100 $ à 499,99 $</w:t>
            </w:r>
          </w:p>
        </w:tc>
        <w:tc>
          <w:tcPr>
            <w:tcBorders>
              <w:top w:color="000000" w:space="0" w:sz="4" w:val="single"/>
              <w:left w:color="000000" w:space="0" w:sz="4" w:val="single"/>
              <w:bottom w:color="000000" w:space="0" w:sz="4" w:val="single"/>
              <w:right w:color="000000" w:space="0" w:sz="4" w:val="single"/>
            </w:tcBorders>
            <w:shd w:fill="f0f0f0" w:val="clear"/>
            <w:tcMar>
              <w:top w:w="75.0" w:type="dxa"/>
              <w:left w:w="75.0" w:type="dxa"/>
              <w:bottom w:w="75.0" w:type="dxa"/>
              <w:right w:w="75.0" w:type="dxa"/>
            </w:tcMar>
            <w:vAlign w:val="bottom"/>
          </w:tcPr>
          <w:p w:rsidR="00000000" w:rsidDel="00000000" w:rsidP="00000000" w:rsidRDefault="00000000" w:rsidRPr="00000000" w14:paraId="00000009">
            <w:pPr>
              <w:rPr>
                <w:rFonts w:ascii="Inter" w:cs="Inter" w:eastAsia="Inter" w:hAnsi="Inter"/>
                <w:b w:val="1"/>
                <w:bCs w:val="1"/>
              </w:rPr>
            </w:pPr>
            <w:r w:rsidDel="00000000" w:rsidR="00000000" w:rsidRPr="00000000">
              <w:rPr>
                <w:rFonts w:ascii="Inter" w:cs="Inter" w:eastAsia="Inter" w:hAnsi="Inter"/>
                <w:b w:val="1"/>
                <w:bCs w:val="1"/>
                <w:rtl w:val="0"/>
              </w:rPr>
              <w:t xml:space="preserve">Vente totale de 500 $ ou plus</w:t>
            </w:r>
          </w:p>
        </w:tc>
      </w:tr>
      <w:tr>
        <w:trPr>
          <w:cantSplit w:val="0"/>
          <w:tblHeader w:val="0"/>
        </w:trPr>
        <w:tc>
          <w:tcPr>
            <w:tcBorders>
              <w:top w:color="000000" w:space="0" w:sz="4"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0A">
            <w:pPr>
              <w:rPr>
                <w:rFonts w:ascii="Inter" w:cs="Inter" w:eastAsia="Inter" w:hAnsi="Inter"/>
              </w:rPr>
            </w:pPr>
            <w:r w:rsidDel="00000000" w:rsidR="00000000" w:rsidRPr="00000000">
              <w:rPr>
                <w:rFonts w:ascii="Inter" w:cs="Inter" w:eastAsia="Inter" w:hAnsi="Inter"/>
                <w:rtl w:val="0"/>
              </w:rPr>
              <w:t xml:space="preserve">Le nom ou la dénomination sociale de votre entreprise ou le nom de votre intermédiaire*</w:t>
            </w:r>
          </w:p>
        </w:tc>
        <w:tc>
          <w:tcPr>
            <w:tcBorders>
              <w:top w:color="000000" w:space="0" w:sz="4"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0B">
            <w:pPr>
              <w:rPr>
                <w:rFonts w:ascii="Inter" w:cs="Inter" w:eastAsia="Inter" w:hAnsi="Inter"/>
              </w:rPr>
            </w:pPr>
            <w:r w:rsidDel="00000000" w:rsidR="00000000" w:rsidRPr="00000000">
              <w:rPr>
                <w:rFonts w:ascii="Inter" w:cs="Inter" w:eastAsia="Inter" w:hAnsi="Inter"/>
                <w:rtl w:val="0"/>
              </w:rPr>
              <w:t xml:space="preserve">Oui</w:t>
            </w:r>
          </w:p>
        </w:tc>
        <w:tc>
          <w:tcPr>
            <w:tcBorders>
              <w:top w:color="000000" w:space="0" w:sz="4"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0C">
            <w:pPr>
              <w:rPr>
                <w:rFonts w:ascii="Inter" w:cs="Inter" w:eastAsia="Inter" w:hAnsi="Inter"/>
              </w:rPr>
            </w:pPr>
            <w:r w:rsidDel="00000000" w:rsidR="00000000" w:rsidRPr="00000000">
              <w:rPr>
                <w:rFonts w:ascii="Inter" w:cs="Inter" w:eastAsia="Inter" w:hAnsi="Inter"/>
                <w:rtl w:val="0"/>
              </w:rPr>
              <w:t xml:space="preserve">Oui</w:t>
            </w:r>
          </w:p>
        </w:tc>
        <w:tc>
          <w:tcPr>
            <w:tcBorders>
              <w:top w:color="000000" w:space="0" w:sz="4"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0D">
            <w:pPr>
              <w:rPr>
                <w:rFonts w:ascii="Inter" w:cs="Inter" w:eastAsia="Inter" w:hAnsi="Inter"/>
              </w:rPr>
            </w:pPr>
            <w:r w:rsidDel="00000000" w:rsidR="00000000" w:rsidRPr="00000000">
              <w:rPr>
                <w:rFonts w:ascii="Inter" w:cs="Inter" w:eastAsia="Inter" w:hAnsi="Inter"/>
                <w:rtl w:val="0"/>
              </w:rPr>
              <w:t xml:space="preserve">Oui</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0E">
            <w:pPr>
              <w:rPr>
                <w:rFonts w:ascii="Inter" w:cs="Inter" w:eastAsia="Inter" w:hAnsi="Inter"/>
              </w:rPr>
            </w:pPr>
            <w:r w:rsidDel="00000000" w:rsidR="00000000" w:rsidRPr="00000000">
              <w:rPr>
                <w:rFonts w:ascii="Inter" w:cs="Inter" w:eastAsia="Inter" w:hAnsi="Inter"/>
                <w:rtl w:val="0"/>
              </w:rPr>
              <w:t xml:space="preserve">La date de la facture ou, si vous n'avez pas établi de facture, la date où la TPS/TVH et la TVQ sont payées ou payables</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0F">
            <w:pPr>
              <w:rPr>
                <w:rFonts w:ascii="Inter" w:cs="Inter" w:eastAsia="Inter" w:hAnsi="Inter"/>
              </w:rPr>
            </w:pPr>
            <w:r w:rsidDel="00000000" w:rsidR="00000000" w:rsidRPr="00000000">
              <w:rPr>
                <w:rFonts w:ascii="Inter" w:cs="Inter" w:eastAsia="Inter" w:hAnsi="Inter"/>
                <w:rtl w:val="0"/>
              </w:rPr>
              <w:t xml:space="preserve">Oui</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0">
            <w:pPr>
              <w:rPr>
                <w:rFonts w:ascii="Inter" w:cs="Inter" w:eastAsia="Inter" w:hAnsi="Inter"/>
              </w:rPr>
            </w:pPr>
            <w:r w:rsidDel="00000000" w:rsidR="00000000" w:rsidRPr="00000000">
              <w:rPr>
                <w:rFonts w:ascii="Inter" w:cs="Inter" w:eastAsia="Inter" w:hAnsi="Inter"/>
                <w:rtl w:val="0"/>
              </w:rPr>
              <w:t xml:space="preserve">Oui</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1">
            <w:pPr>
              <w:rPr>
                <w:rFonts w:ascii="Inter" w:cs="Inter" w:eastAsia="Inter" w:hAnsi="Inter"/>
              </w:rPr>
            </w:pPr>
            <w:r w:rsidDel="00000000" w:rsidR="00000000" w:rsidRPr="00000000">
              <w:rPr>
                <w:rFonts w:ascii="Inter" w:cs="Inter" w:eastAsia="Inter" w:hAnsi="Inter"/>
                <w:rtl w:val="0"/>
              </w:rPr>
              <w:t xml:space="preserve">Oui</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2">
            <w:pPr>
              <w:rPr>
                <w:rFonts w:ascii="Inter" w:cs="Inter" w:eastAsia="Inter" w:hAnsi="Inter"/>
              </w:rPr>
            </w:pPr>
            <w:r w:rsidDel="00000000" w:rsidR="00000000" w:rsidRPr="00000000">
              <w:rPr>
                <w:rFonts w:ascii="Inter" w:cs="Inter" w:eastAsia="Inter" w:hAnsi="Inter"/>
                <w:rtl w:val="0"/>
              </w:rPr>
              <w:t xml:space="preserve">Le montant total de la facture (montant payé ou payable)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3">
            <w:pPr>
              <w:rPr>
                <w:rFonts w:ascii="Inter" w:cs="Inter" w:eastAsia="Inter" w:hAnsi="Inter"/>
              </w:rPr>
            </w:pPr>
            <w:r w:rsidDel="00000000" w:rsidR="00000000" w:rsidRPr="00000000">
              <w:rPr>
                <w:rFonts w:ascii="Inter" w:cs="Inter" w:eastAsia="Inter" w:hAnsi="Inter"/>
                <w:rtl w:val="0"/>
              </w:rPr>
              <w:t xml:space="preserve">Oui</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4">
            <w:pPr>
              <w:rPr>
                <w:rFonts w:ascii="Inter" w:cs="Inter" w:eastAsia="Inter" w:hAnsi="Inter"/>
              </w:rPr>
            </w:pPr>
            <w:r w:rsidDel="00000000" w:rsidR="00000000" w:rsidRPr="00000000">
              <w:rPr>
                <w:rFonts w:ascii="Inter" w:cs="Inter" w:eastAsia="Inter" w:hAnsi="Inter"/>
                <w:rtl w:val="0"/>
              </w:rPr>
              <w:t xml:space="preserve">Oui</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5">
            <w:pPr>
              <w:rPr>
                <w:rFonts w:ascii="Inter" w:cs="Inter" w:eastAsia="Inter" w:hAnsi="Inter"/>
              </w:rPr>
            </w:pPr>
            <w:r w:rsidDel="00000000" w:rsidR="00000000" w:rsidRPr="00000000">
              <w:rPr>
                <w:rFonts w:ascii="Inter" w:cs="Inter" w:eastAsia="Inter" w:hAnsi="Inter"/>
                <w:rtl w:val="0"/>
              </w:rPr>
              <w:t xml:space="preserve">Oui</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6">
            <w:pPr>
              <w:rPr>
                <w:rFonts w:ascii="Inter" w:cs="Inter" w:eastAsia="Inter" w:hAnsi="Inter"/>
              </w:rPr>
            </w:pPr>
            <w:r w:rsidDel="00000000" w:rsidR="00000000" w:rsidRPr="00000000">
              <w:rPr>
                <w:rFonts w:ascii="Inter" w:cs="Inter" w:eastAsia="Inter" w:hAnsi="Inter"/>
                <w:rtl w:val="0"/>
              </w:rPr>
              <w:t xml:space="preserve">Montant des taxes applicables, </w:t>
            </w:r>
            <w:r w:rsidDel="00000000" w:rsidR="00000000" w:rsidRPr="00000000">
              <w:rPr>
                <w:rFonts w:ascii="Inter" w:cs="Inter" w:eastAsia="Inter" w:hAnsi="Inter"/>
                <w:b w:val="1"/>
                <w:bCs w:val="1"/>
                <w:rtl w:val="0"/>
              </w:rPr>
              <w:t xml:space="preserve">ou</w:t>
            </w:r>
            <w:r w:rsidDel="00000000" w:rsidR="00000000" w:rsidRPr="00000000">
              <w:rPr>
                <w:rFonts w:ascii="Inter" w:cs="Inter" w:eastAsia="Inter" w:hAnsi="Inter"/>
                <w:rtl w:val="0"/>
              </w:rPr>
              <w:t xml:space="preserve"> le montant payé ou payable pour chaque fourniture taxable (sauf les </w:t>
            </w:r>
            <w:hyperlink r:id="rId7">
              <w:r w:rsidDel="00000000" w:rsidR="00000000" w:rsidRPr="00000000">
                <w:rPr>
                  <w:rFonts w:ascii="Inter" w:cs="Inter" w:eastAsia="Inter" w:hAnsi="Inter"/>
                  <w:color w:val="7834bc"/>
                  <w:u w:val="single"/>
                  <w:rtl w:val="0"/>
                </w:rPr>
                <w:t xml:space="preserve">fournitures détaxées</w:t>
              </w:r>
            </w:hyperlink>
            <w:r w:rsidDel="00000000" w:rsidR="00000000" w:rsidRPr="00000000">
              <w:rPr>
                <w:rFonts w:ascii="Inter" w:cs="Inter" w:eastAsia="Inter" w:hAnsi="Inter"/>
                <w:rtl w:val="0"/>
              </w:rPr>
              <w:t xml:space="preserve">) comprend les taxes applicables**</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7">
            <w:pPr>
              <w:rPr>
                <w:rFonts w:ascii="Inter" w:cs="Inter" w:eastAsia="Inter" w:hAnsi="Inter"/>
              </w:rPr>
            </w:pPr>
            <w:r w:rsidDel="00000000" w:rsidR="00000000" w:rsidRPr="00000000">
              <w:rPr>
                <w:rFonts w:ascii="Inter" w:cs="Inter" w:eastAsia="Inter" w:hAnsi="Inter"/>
                <w:rtl w:val="0"/>
              </w:rPr>
              <w:t xml:space="preserve">Requis pour la TVQ seulement</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8">
            <w:pPr>
              <w:rPr>
                <w:rFonts w:ascii="Inter" w:cs="Inter" w:eastAsia="Inter" w:hAnsi="Inter"/>
              </w:rPr>
            </w:pPr>
            <w:r w:rsidDel="00000000" w:rsidR="00000000" w:rsidRPr="00000000">
              <w:rPr>
                <w:rFonts w:ascii="Inter" w:cs="Inter" w:eastAsia="Inter" w:hAnsi="Inter"/>
                <w:rtl w:val="0"/>
              </w:rPr>
              <w:t xml:space="preserve">Oui</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9">
            <w:pPr>
              <w:rPr>
                <w:rFonts w:ascii="Inter" w:cs="Inter" w:eastAsia="Inter" w:hAnsi="Inter"/>
              </w:rPr>
            </w:pPr>
            <w:r w:rsidDel="00000000" w:rsidR="00000000" w:rsidRPr="00000000">
              <w:rPr>
                <w:rFonts w:ascii="Inter" w:cs="Inter" w:eastAsia="Inter" w:hAnsi="Inter"/>
                <w:rtl w:val="0"/>
              </w:rPr>
              <w:t xml:space="preserve">Oui</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A">
            <w:pPr>
              <w:rPr>
                <w:rFonts w:ascii="Inter" w:cs="Inter" w:eastAsia="Inter" w:hAnsi="Inter"/>
              </w:rPr>
            </w:pPr>
            <w:r w:rsidDel="00000000" w:rsidR="00000000" w:rsidRPr="00000000">
              <w:rPr>
                <w:rFonts w:ascii="Inter" w:cs="Inter" w:eastAsia="Inter" w:hAnsi="Inter"/>
                <w:rtl w:val="0"/>
              </w:rPr>
              <w:t xml:space="preserve">Une mention du statut de chaque fourniture lorsque la facture comprend</w:t>
            </w:r>
            <w:r w:rsidDel="00000000" w:rsidR="00000000" w:rsidRPr="00000000">
              <w:rPr>
                <w:rFonts w:ascii="Inter" w:cs="Inter" w:eastAsia="Inter" w:hAnsi="Inter"/>
                <w:sz w:val="22"/>
                <w:szCs w:val="22"/>
                <w:rtl w:val="0"/>
              </w:rPr>
              <w:t xml:space="preserve"> </w:t>
            </w:r>
            <w:r w:rsidDel="00000000" w:rsidR="00000000" w:rsidRPr="00000000">
              <w:rPr>
                <w:rFonts w:ascii="Inter" w:cs="Inter" w:eastAsia="Inter" w:hAnsi="Inter"/>
                <w:b w:val="1"/>
                <w:bCs w:val="1"/>
                <w:sz w:val="22"/>
                <w:szCs w:val="22"/>
                <w:rtl w:val="0"/>
              </w:rPr>
              <w:t xml:space="preserve">à la fois</w:t>
            </w:r>
            <w:r w:rsidDel="00000000" w:rsidR="00000000" w:rsidRPr="00000000">
              <w:rPr>
                <w:rFonts w:ascii="Inter" w:cs="Inter" w:eastAsia="Inter" w:hAnsi="Inter"/>
                <w:sz w:val="22"/>
                <w:szCs w:val="22"/>
                <w:rtl w:val="0"/>
              </w:rPr>
              <w:t xml:space="preserve"> </w:t>
            </w:r>
            <w:r w:rsidDel="00000000" w:rsidR="00000000" w:rsidRPr="00000000">
              <w:rPr>
                <w:rFonts w:ascii="Inter" w:cs="Inter" w:eastAsia="Inter" w:hAnsi="Inter"/>
                <w:rtl w:val="0"/>
              </w:rPr>
              <w:t xml:space="preserve">des fournitures taxables et des fournitures exonérées.</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B">
            <w:pPr>
              <w:rPr>
                <w:rFonts w:ascii="Inter" w:cs="Inter" w:eastAsia="Inter" w:hAnsi="Inter"/>
              </w:rPr>
            </w:pPr>
            <w:r w:rsidDel="00000000" w:rsidR="00000000" w:rsidRPr="00000000">
              <w:rPr>
                <w:rFonts w:ascii="Inter" w:cs="Inter" w:eastAsia="Inter" w:hAnsi="Inter"/>
                <w:rtl w:val="0"/>
              </w:rPr>
              <w:t xml:space="preserve">Non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C">
            <w:pPr>
              <w:rPr>
                <w:rFonts w:ascii="Inter" w:cs="Inter" w:eastAsia="Inter" w:hAnsi="Inter"/>
              </w:rPr>
            </w:pPr>
            <w:r w:rsidDel="00000000" w:rsidR="00000000" w:rsidRPr="00000000">
              <w:rPr>
                <w:rFonts w:ascii="Inter" w:cs="Inter" w:eastAsia="Inter" w:hAnsi="Inter"/>
                <w:rtl w:val="0"/>
              </w:rPr>
              <w:t xml:space="preserve">Oui</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D">
            <w:pPr>
              <w:rPr>
                <w:rFonts w:ascii="Inter" w:cs="Inter" w:eastAsia="Inter" w:hAnsi="Inter"/>
              </w:rPr>
            </w:pPr>
            <w:r w:rsidDel="00000000" w:rsidR="00000000" w:rsidRPr="00000000">
              <w:rPr>
                <w:rFonts w:ascii="Inter" w:cs="Inter" w:eastAsia="Inter" w:hAnsi="Inter"/>
                <w:rtl w:val="0"/>
              </w:rPr>
              <w:t xml:space="preserve">Oui</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E">
            <w:pPr>
              <w:rPr>
                <w:rFonts w:ascii="Inter" w:cs="Inter" w:eastAsia="Inter" w:hAnsi="Inter"/>
              </w:rPr>
            </w:pPr>
            <w:r w:rsidDel="00000000" w:rsidR="00000000" w:rsidRPr="00000000">
              <w:rPr>
                <w:rFonts w:ascii="Inter" w:cs="Inter" w:eastAsia="Inter" w:hAnsi="Inter"/>
                <w:rtl w:val="0"/>
              </w:rPr>
              <w:t xml:space="preserve">Le numéro d’inscription à la TPS/TVH et/ou TVQ du fournisseur ou de l’intermédiaire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1F">
            <w:pPr>
              <w:rPr>
                <w:rFonts w:ascii="Inter" w:cs="Inter" w:eastAsia="Inter" w:hAnsi="Inter"/>
              </w:rPr>
            </w:pPr>
            <w:r w:rsidDel="00000000" w:rsidR="00000000" w:rsidRPr="00000000">
              <w:rPr>
                <w:rFonts w:ascii="Inter" w:cs="Inter" w:eastAsia="Inter" w:hAnsi="Inter"/>
                <w:rtl w:val="0"/>
              </w:rPr>
              <w:t xml:space="preserve">Non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0">
            <w:pPr>
              <w:rPr>
                <w:rFonts w:ascii="Inter" w:cs="Inter" w:eastAsia="Inter" w:hAnsi="Inter"/>
              </w:rPr>
            </w:pPr>
            <w:r w:rsidDel="00000000" w:rsidR="00000000" w:rsidRPr="00000000">
              <w:rPr>
                <w:rFonts w:ascii="Inter" w:cs="Inter" w:eastAsia="Inter" w:hAnsi="Inter"/>
                <w:rtl w:val="0"/>
              </w:rPr>
              <w:t xml:space="preserve">Oui</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1">
            <w:pPr>
              <w:rPr>
                <w:rFonts w:ascii="Inter" w:cs="Inter" w:eastAsia="Inter" w:hAnsi="Inter"/>
              </w:rPr>
            </w:pPr>
            <w:r w:rsidDel="00000000" w:rsidR="00000000" w:rsidRPr="00000000">
              <w:rPr>
                <w:rFonts w:ascii="Inter" w:cs="Inter" w:eastAsia="Inter" w:hAnsi="Inter"/>
                <w:rtl w:val="0"/>
              </w:rPr>
              <w:t xml:space="preserve">Oui</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2">
            <w:pPr>
              <w:rPr>
                <w:rFonts w:ascii="Inter" w:cs="Inter" w:eastAsia="Inter" w:hAnsi="Inter"/>
              </w:rPr>
            </w:pPr>
            <w:r w:rsidDel="00000000" w:rsidR="00000000" w:rsidRPr="00000000">
              <w:rPr>
                <w:rFonts w:ascii="Inter" w:cs="Inter" w:eastAsia="Inter" w:hAnsi="Inter"/>
                <w:rtl w:val="0"/>
              </w:rPr>
              <w:t xml:space="preserve">Le nom ou la dénomination sociale de l'acheteur ou le nom du mandataire ou du représentant dûment autorisé</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3">
            <w:pPr>
              <w:rPr>
                <w:rFonts w:ascii="Inter" w:cs="Inter" w:eastAsia="Inter" w:hAnsi="Inter"/>
              </w:rPr>
            </w:pPr>
            <w:r w:rsidDel="00000000" w:rsidR="00000000" w:rsidRPr="00000000">
              <w:rPr>
                <w:rFonts w:ascii="Inter" w:cs="Inter" w:eastAsia="Inter" w:hAnsi="Inter"/>
                <w:rtl w:val="0"/>
              </w:rPr>
              <w:t xml:space="preserve">Non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4">
            <w:pPr>
              <w:rPr>
                <w:rFonts w:ascii="Inter" w:cs="Inter" w:eastAsia="Inter" w:hAnsi="Inter"/>
              </w:rPr>
            </w:pPr>
            <w:r w:rsidDel="00000000" w:rsidR="00000000" w:rsidRPr="00000000">
              <w:rPr>
                <w:rFonts w:ascii="Inter" w:cs="Inter" w:eastAsia="Inter" w:hAnsi="Inter"/>
                <w:rtl w:val="0"/>
              </w:rPr>
              <w:t xml:space="preserve">Non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5">
            <w:pPr>
              <w:rPr>
                <w:rFonts w:ascii="Inter" w:cs="Inter" w:eastAsia="Inter" w:hAnsi="Inter"/>
              </w:rPr>
            </w:pPr>
            <w:r w:rsidDel="00000000" w:rsidR="00000000" w:rsidRPr="00000000">
              <w:rPr>
                <w:rFonts w:ascii="Inter" w:cs="Inter" w:eastAsia="Inter" w:hAnsi="Inter"/>
                <w:rtl w:val="0"/>
              </w:rPr>
              <w:t xml:space="preserve">Oui</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6">
            <w:pPr>
              <w:rPr>
                <w:rFonts w:ascii="Inter" w:cs="Inter" w:eastAsia="Inter" w:hAnsi="Inter"/>
              </w:rPr>
            </w:pPr>
            <w:r w:rsidDel="00000000" w:rsidR="00000000" w:rsidRPr="00000000">
              <w:rPr>
                <w:rFonts w:ascii="Inter" w:cs="Inter" w:eastAsia="Inter" w:hAnsi="Inter"/>
                <w:rtl w:val="0"/>
              </w:rPr>
              <w:t xml:space="preserve">Une brève description des biens ou services</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7">
            <w:pPr>
              <w:rPr>
                <w:rFonts w:ascii="Inter" w:cs="Inter" w:eastAsia="Inter" w:hAnsi="Inter"/>
              </w:rPr>
            </w:pPr>
            <w:r w:rsidDel="00000000" w:rsidR="00000000" w:rsidRPr="00000000">
              <w:rPr>
                <w:rFonts w:ascii="Inter" w:cs="Inter" w:eastAsia="Inter" w:hAnsi="Inter"/>
                <w:rtl w:val="0"/>
              </w:rPr>
              <w:t xml:space="preserve">Requis pour la TVQ seulement</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8">
            <w:pPr>
              <w:rPr>
                <w:rFonts w:ascii="Inter" w:cs="Inter" w:eastAsia="Inter" w:hAnsi="Inter"/>
              </w:rPr>
            </w:pPr>
            <w:r w:rsidDel="00000000" w:rsidR="00000000" w:rsidRPr="00000000">
              <w:rPr>
                <w:rFonts w:ascii="Inter" w:cs="Inter" w:eastAsia="Inter" w:hAnsi="Inter"/>
                <w:rtl w:val="0"/>
              </w:rPr>
              <w:t xml:space="preserve">Requis pour la TVQ seulement</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9">
            <w:pPr>
              <w:rPr>
                <w:rFonts w:ascii="Inter" w:cs="Inter" w:eastAsia="Inter" w:hAnsi="Inter"/>
              </w:rPr>
            </w:pPr>
            <w:r w:rsidDel="00000000" w:rsidR="00000000" w:rsidRPr="00000000">
              <w:rPr>
                <w:rFonts w:ascii="Inter" w:cs="Inter" w:eastAsia="Inter" w:hAnsi="Inter"/>
                <w:rtl w:val="0"/>
              </w:rPr>
              <w:t xml:space="preserve">Oui</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A">
            <w:pPr>
              <w:rPr>
                <w:rFonts w:ascii="Inter" w:cs="Inter" w:eastAsia="Inter" w:hAnsi="Inter"/>
              </w:rPr>
            </w:pPr>
            <w:r w:rsidDel="00000000" w:rsidR="00000000" w:rsidRPr="00000000">
              <w:rPr>
                <w:rFonts w:ascii="Inter" w:cs="Inter" w:eastAsia="Inter" w:hAnsi="Inter"/>
                <w:rtl w:val="0"/>
              </w:rPr>
              <w:t xml:space="preserve">Les modalités de paiement</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B">
            <w:pPr>
              <w:rPr>
                <w:rFonts w:ascii="Inter" w:cs="Inter" w:eastAsia="Inter" w:hAnsi="Inter"/>
              </w:rPr>
            </w:pPr>
            <w:r w:rsidDel="00000000" w:rsidR="00000000" w:rsidRPr="00000000">
              <w:rPr>
                <w:rFonts w:ascii="Inter" w:cs="Inter" w:eastAsia="Inter" w:hAnsi="Inter"/>
                <w:rtl w:val="0"/>
              </w:rPr>
              <w:t xml:space="preserve">Non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C">
            <w:pPr>
              <w:rPr>
                <w:rFonts w:ascii="Inter" w:cs="Inter" w:eastAsia="Inter" w:hAnsi="Inter"/>
              </w:rPr>
            </w:pPr>
            <w:r w:rsidDel="00000000" w:rsidR="00000000" w:rsidRPr="00000000">
              <w:rPr>
                <w:rFonts w:ascii="Inter" w:cs="Inter" w:eastAsia="Inter" w:hAnsi="Inter"/>
                <w:rtl w:val="0"/>
              </w:rPr>
              <w:t xml:space="preserve">Non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02D">
            <w:pPr>
              <w:rPr>
                <w:rFonts w:ascii="Inter" w:cs="Inter" w:eastAsia="Inter" w:hAnsi="Inter"/>
              </w:rPr>
            </w:pPr>
            <w:r w:rsidDel="00000000" w:rsidR="00000000" w:rsidRPr="00000000">
              <w:rPr>
                <w:rFonts w:ascii="Inter" w:cs="Inter" w:eastAsia="Inter" w:hAnsi="Inter"/>
                <w:rtl w:val="0"/>
              </w:rPr>
              <w:t xml:space="preserve">Oui</w:t>
            </w:r>
          </w:p>
        </w:tc>
      </w:tr>
    </w:tbl>
    <w:p w:rsidR="00000000" w:rsidDel="00000000" w:rsidP="00000000" w:rsidRDefault="00000000" w:rsidRPr="00000000" w14:paraId="0000002E">
      <w:pPr>
        <w:rPr>
          <w:rFonts w:ascii="Inter" w:cs="Inter" w:eastAsia="Inter" w:hAnsi="Inter"/>
          <w:color w:val="333333"/>
          <w:sz w:val="20"/>
          <w:szCs w:val="20"/>
          <w:shd w:fill="eeeeee" w:val="clear"/>
        </w:rPr>
      </w:pPr>
      <w:r w:rsidDel="00000000" w:rsidR="00000000" w:rsidRPr="00000000">
        <w:rPr>
          <w:rFonts w:ascii="Inter" w:cs="Inter" w:eastAsia="Inter" w:hAnsi="Inter"/>
          <w:color w:val="333333"/>
          <w:sz w:val="28"/>
          <w:szCs w:val="28"/>
          <w:shd w:fill="eeeeee" w:val="clear"/>
          <w:rtl w:val="0"/>
        </w:rPr>
        <w:t xml:space="preserve">*</w:t>
      </w:r>
      <w:r w:rsidDel="00000000" w:rsidR="00000000" w:rsidRPr="00000000">
        <w:rPr>
          <w:rFonts w:ascii="Inter" w:cs="Inter" w:eastAsia="Inter" w:hAnsi="Inter"/>
          <w:color w:val="333333"/>
          <w:sz w:val="20"/>
          <w:szCs w:val="20"/>
          <w:shd w:fill="eeeeee" w:val="clear"/>
          <w:rtl w:val="0"/>
        </w:rPr>
        <w:t xml:space="preserve">Un intermédiaire est un inscrit qui, selon un accord avec vous, effectue une fourniture en votre nom, ou vous permet ou vous facilite la réalisation de la fourniture.</w:t>
      </w:r>
    </w:p>
    <w:p w:rsidR="00000000" w:rsidDel="00000000" w:rsidP="00000000" w:rsidRDefault="00000000" w:rsidRPr="00000000" w14:paraId="0000002F">
      <w:pPr>
        <w:rPr>
          <w:rFonts w:ascii="Inter" w:cs="Inter" w:eastAsia="Inter" w:hAnsi="Inter"/>
          <w:color w:val="333333"/>
          <w:sz w:val="20"/>
          <w:szCs w:val="20"/>
          <w:shd w:fill="eeeeee" w:val="clear"/>
        </w:rPr>
      </w:pPr>
      <w:r w:rsidDel="00000000" w:rsidR="00000000" w:rsidRPr="00000000">
        <w:rPr>
          <w:rFonts w:ascii="Inter" w:cs="Inter" w:eastAsia="Inter" w:hAnsi="Inter"/>
          <w:color w:val="333333"/>
          <w:sz w:val="20"/>
          <w:szCs w:val="20"/>
          <w:shd w:fill="eeeeee" w:val="clear"/>
          <w:rtl w:val="0"/>
        </w:rPr>
        <w:t xml:space="preserve">** Si le montant de taxe est constitué à la fois de la TPS et de la TVQ, il faut indiquer ce montant pour chacune des ventes taxables et préciser qu'il comprend la TPS ainsi que la TVQ. Dans ce contexte, le sigle TPS désigne seulement la TPS, et non la TPS/TVH.</w:t>
      </w:r>
    </w:p>
    <w:p w:rsidR="00000000" w:rsidDel="00000000" w:rsidP="00000000" w:rsidRDefault="00000000" w:rsidRPr="00000000" w14:paraId="00000030">
      <w:pPr>
        <w:rPr>
          <w:rFonts w:ascii="Inter" w:cs="Inter" w:eastAsia="Inter" w:hAnsi="Inter"/>
          <w:sz w:val="22"/>
          <w:szCs w:val="22"/>
        </w:rPr>
      </w:pPr>
      <w:r w:rsidDel="00000000" w:rsidR="00000000" w:rsidRPr="00000000">
        <w:rPr>
          <w:rtl w:val="0"/>
        </w:rPr>
      </w:r>
    </w:p>
    <w:p w:rsidR="00000000" w:rsidDel="00000000" w:rsidP="00000000" w:rsidRDefault="00000000" w:rsidRPr="00000000" w14:paraId="00000031">
      <w:pPr>
        <w:rPr>
          <w:rFonts w:ascii="Inter" w:cs="Inter" w:eastAsia="Inter" w:hAnsi="Inter"/>
          <w:sz w:val="22"/>
          <w:szCs w:val="22"/>
        </w:rPr>
      </w:pPr>
      <w:hyperlink r:id="rId8">
        <w:r w:rsidDel="00000000" w:rsidR="00000000" w:rsidRPr="00000000">
          <w:rPr>
            <w:rFonts w:ascii="Inter" w:cs="Inter" w:eastAsia="Inter" w:hAnsi="Inter"/>
            <w:color w:val="0000ff"/>
            <w:sz w:val="22"/>
            <w:szCs w:val="22"/>
            <w:u w:val="single"/>
            <w:rtl w:val="0"/>
          </w:rPr>
          <w:t xml:space="preserve">https://www.canada.ca/fr/agence-revenu/services/impot/entreprises/sujets/tps-tvh-entreprises/remplir-produire-credits-taxe-intrants.html#dcmts_rqrd</w:t>
        </w:r>
      </w:hyperlink>
      <w:r w:rsidDel="00000000" w:rsidR="00000000" w:rsidRPr="00000000">
        <w:rPr>
          <w:rtl w:val="0"/>
        </w:rPr>
      </w:r>
    </w:p>
    <w:p w:rsidR="00000000" w:rsidDel="00000000" w:rsidP="00000000" w:rsidRDefault="00000000" w:rsidRPr="00000000" w14:paraId="00000032">
      <w:pPr>
        <w:rPr>
          <w:rFonts w:ascii="Inter" w:cs="Inter" w:eastAsia="Inter" w:hAnsi="Inter"/>
          <w:sz w:val="22"/>
          <w:szCs w:val="22"/>
        </w:rPr>
      </w:pPr>
      <w:hyperlink r:id="rId9">
        <w:r w:rsidDel="00000000" w:rsidR="00000000" w:rsidRPr="00000000">
          <w:rPr>
            <w:rFonts w:ascii="Inter" w:cs="Inter" w:eastAsia="Inter" w:hAnsi="Inter"/>
            <w:color w:val="0000ff"/>
            <w:sz w:val="22"/>
            <w:szCs w:val="22"/>
            <w:u w:val="single"/>
            <w:rtl w:val="0"/>
          </w:rPr>
          <w:t xml:space="preserve">https://www.revenuquebec.ca/fr/entreprises/taxes/tpstvh-et-tvq/perception-de-la-tps-et-de-la-tvq/preparation-des-factures/</w:t>
        </w:r>
      </w:hyperlink>
      <w:r w:rsidDel="00000000" w:rsidR="00000000" w:rsidRPr="00000000">
        <w:rPr>
          <w:rFonts w:ascii="Inter" w:cs="Inter" w:eastAsia="Inter" w:hAnsi="Inter"/>
          <w:sz w:val="22"/>
          <w:szCs w:val="22"/>
          <w:rtl w:val="0"/>
        </w:rPr>
        <w:tab/>
      </w:r>
    </w:p>
    <w:sectPr>
      <w:pgSz w:h="12240" w:w="20160" w:orient="landscape"/>
      <w:pgMar w:bottom="1187.0078740157492" w:top="992.1259842519685"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venuquebec.ca/fr/entreprises/taxes/tpstvh-et-tvq/perception-de-la-tps-et-de-la-tvq/preparation-des-factur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nada.ca/fr/agence-revenu/services/impot/entreprises/sujets/tps-tvh-entreprises/definitions-tps-tvh.html#detaxee" TargetMode="External"/><Relationship Id="rId8" Type="http://schemas.openxmlformats.org/officeDocument/2006/relationships/hyperlink" Target="https://www.canada.ca/fr/agence-revenu/services/impot/entreprises/sujets/tps-tvh-entreprises/remplir-produire-credits-taxe-intrants.html#dcmts_rq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9oaq9aQ1qRiTaUKaQguVJsm3YA==">CgMxLjA4AHIhMUpoSHdHZVB3Y0NYUG1Lck1QZjkwR3Q3ZFlZVGdxa3c3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