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" w:cs="Inter" w:eastAsia="Inter" w:hAnsi="Inter"/>
          <w:b w:val="1"/>
          <w:bCs w:val="1"/>
          <w:i w:val="1"/>
          <w:iCs w:val="1"/>
          <w:color w:val="0000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color w:val="0000ff"/>
          <w:sz w:val="20"/>
          <w:szCs w:val="20"/>
          <w:rtl w:val="0"/>
        </w:rPr>
        <w:t xml:space="preserve">Consigne sur l’utilisation du modèle :  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  <w:i w:val="1"/>
          <w:iCs w:val="1"/>
          <w:color w:val="0000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* Les </w:t>
      </w:r>
      <w:r w:rsidDel="00000000" w:rsidR="00000000" w:rsidRPr="00000000">
        <w:rPr>
          <w:rFonts w:ascii="Inter" w:cs="Inter" w:eastAsia="Inter" w:hAnsi="Inter"/>
          <w:color w:val="0000ff"/>
          <w:highlight w:val="lightGray"/>
          <w:rtl w:val="0"/>
        </w:rPr>
        <w:t xml:space="preserve">[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highlight w:val="lightGray"/>
          <w:rtl w:val="0"/>
        </w:rPr>
        <w:t xml:space="preserve">espaces</w:t>
      </w:r>
      <w:r w:rsidDel="00000000" w:rsidR="00000000" w:rsidRPr="00000000">
        <w:rPr>
          <w:rFonts w:ascii="Inter" w:cs="Inter" w:eastAsia="Inter" w:hAnsi="Inter"/>
          <w:color w:val="0000ff"/>
          <w:highlight w:val="lightGray"/>
          <w:rtl w:val="0"/>
        </w:rPr>
        <w:t xml:space="preserve">]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highlight w:val="lightGray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sont à remplir avec vos informations </w:t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  <w:i w:val="1"/>
          <w:iCs w:val="1"/>
          <w:color w:val="0000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* Les consignes et termes en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highlight w:val="lightGray"/>
          <w:rtl w:val="0"/>
        </w:rPr>
        <w:t xml:space="preserve">gris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 sont à adapter selon votre réalité.</w:t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  <w:b w:val="1"/>
          <w:bCs w:val="1"/>
          <w:sz w:val="26"/>
          <w:szCs w:val="2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Inter" w:cs="Inter" w:eastAsia="Inter" w:hAnsi="Inter"/>
          <w:b w:val="1"/>
          <w:bCs w:val="1"/>
          <w:sz w:val="26"/>
          <w:szCs w:val="2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Inter" w:cs="Inter" w:eastAsia="Inter" w:hAnsi="Inter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6"/>
          <w:szCs w:val="26"/>
          <w:highlight w:val="lightGray"/>
          <w:rtl w:val="0"/>
        </w:rPr>
        <w:t xml:space="preserve">[Nom de la compagnie]</w:t>
      </w:r>
      <w:r w:rsidDel="00000000" w:rsidR="00000000" w:rsidRPr="00000000">
        <w:rPr>
          <w:rFonts w:ascii="Inter" w:cs="Inter" w:eastAsia="Inter" w:hAnsi="Inter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Inter" w:cs="Inter" w:eastAsia="Inter" w:hAnsi="Inter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6"/>
          <w:szCs w:val="26"/>
          <w:rtl w:val="0"/>
        </w:rPr>
        <w:t xml:space="preserve">Assemblée générale annuelle (AGA)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-36811582</wp:posOffset>
                </wp:positionH>
                <wp:positionV relativeFrom="paragraph">
                  <wp:posOffset>-42224958</wp:posOffset>
                </wp:positionV>
                <wp:extent cx="1066800" cy="6858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22125" y="3446625"/>
                          <a:ext cx="1047750" cy="666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-36811582</wp:posOffset>
                </wp:positionH>
                <wp:positionV relativeFrom="paragraph">
                  <wp:posOffset>-42224958</wp:posOffset>
                </wp:positionV>
                <wp:extent cx="1066800" cy="6858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32" w:firstLine="0"/>
        <w:jc w:val="center"/>
        <w:rPr>
          <w:rFonts w:ascii="Inter" w:cs="Inter" w:eastAsia="Inter" w:hAnsi="Inter"/>
          <w:b w:val="1"/>
          <w:bCs w:val="1"/>
          <w:color w:val="000000"/>
          <w:sz w:val="26"/>
          <w:szCs w:val="26"/>
          <w:highlight w:val="lightGray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6"/>
          <w:szCs w:val="26"/>
          <w:highlight w:val="lightGray"/>
          <w:rtl w:val="0"/>
        </w:rPr>
        <w:t xml:space="preserve">[Date, heure et lieu]</w:t>
      </w:r>
    </w:p>
    <w:p w:rsidR="00000000" w:rsidDel="00000000" w:rsidP="00000000" w:rsidRDefault="00000000" w:rsidRPr="00000000" w14:paraId="00000009">
      <w:pPr>
        <w:rPr>
          <w:rFonts w:ascii="Inter" w:cs="Inter" w:eastAsia="Inter" w:hAnsi="Inte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Inter" w:cs="Inter" w:eastAsia="Inter" w:hAnsi="Inter"/>
          <w:b w:val="1"/>
          <w:bCs w:val="1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6"/>
          <w:szCs w:val="26"/>
          <w:rtl w:val="0"/>
        </w:rPr>
        <w:t xml:space="preserve">ORDRE DU JOUR</w:t>
      </w:r>
    </w:p>
    <w:p w:rsidR="00000000" w:rsidDel="00000000" w:rsidP="00000000" w:rsidRDefault="00000000" w:rsidRPr="00000000" w14:paraId="0000000C">
      <w:pPr>
        <w:tabs>
          <w:tab w:val="left" w:leader="none" w:pos="-720"/>
          <w:tab w:val="left" w:leader="none" w:pos="1134"/>
          <w:tab w:val="left" w:leader="none" w:pos="1560"/>
        </w:tabs>
        <w:jc w:val="both"/>
        <w:rPr>
          <w:rFonts w:ascii="Inter" w:cs="Inter" w:eastAsia="Inter" w:hAnsi="Inter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1134"/>
          <w:tab w:val="left" w:leader="none" w:pos="1560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Ouverture de l’AGA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[année]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[… minutes]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ind w:left="567" w:firstLine="0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1.1 </w:t>
        <w:tab/>
        <w:t xml:space="preserve">Mot de bienvenue de la présidence </w:t>
      </w:r>
    </w:p>
    <w:p w:rsidR="00000000" w:rsidDel="00000000" w:rsidP="00000000" w:rsidRDefault="00000000" w:rsidRPr="00000000" w14:paraId="0000000F">
      <w:pPr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ind w:left="567" w:firstLine="0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1.2 </w:t>
        <w:tab/>
        <w:t xml:space="preserve">Élection d’une présidence et d’un(e) secrétaire d’assemblée</w:t>
      </w:r>
    </w:p>
    <w:p w:rsidR="00000000" w:rsidDel="00000000" w:rsidP="00000000" w:rsidRDefault="00000000" w:rsidRPr="00000000" w14:paraId="00000010">
      <w:pPr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ind w:left="567" w:firstLine="0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1.3 </w:t>
        <w:tab/>
        <w:t xml:space="preserve">Présentation des règles et des procédures</w:t>
      </w:r>
    </w:p>
    <w:p w:rsidR="00000000" w:rsidDel="00000000" w:rsidP="00000000" w:rsidRDefault="00000000" w:rsidRPr="00000000" w14:paraId="00000011">
      <w:pPr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ind w:left="567" w:firstLine="0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1.4 </w:t>
        <w:tab/>
        <w:t xml:space="preserve">Vérification du droit de vote et du quorum</w:t>
      </w:r>
    </w:p>
    <w:p w:rsidR="00000000" w:rsidDel="00000000" w:rsidP="00000000" w:rsidRDefault="00000000" w:rsidRPr="00000000" w14:paraId="00000012">
      <w:pPr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ind w:left="567" w:firstLine="0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1.5 </w:t>
        <w:tab/>
        <w:t xml:space="preserve">Reconnaissance des observateurs</w:t>
      </w:r>
    </w:p>
    <w:p w:rsidR="00000000" w:rsidDel="00000000" w:rsidP="00000000" w:rsidRDefault="00000000" w:rsidRPr="00000000" w14:paraId="00000013">
      <w:pPr>
        <w:tabs>
          <w:tab w:val="left" w:leader="none" w:pos="-720"/>
          <w:tab w:val="left" w:leader="none" w:pos="1134"/>
          <w:tab w:val="left" w:leader="none" w:pos="1560"/>
        </w:tabs>
        <w:ind w:left="1560" w:hanging="1560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-720"/>
          <w:tab w:val="left" w:leader="none" w:pos="1134"/>
          <w:tab w:val="left" w:leader="none" w:pos="1560"/>
        </w:tabs>
        <w:ind w:left="1560" w:hanging="1560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2. Adoption de l’ordre du jour 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[… minutes]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-720"/>
          <w:tab w:val="left" w:leader="none" w:pos="1134"/>
          <w:tab w:val="left" w:leader="none" w:pos="1560"/>
        </w:tabs>
        <w:ind w:left="1560" w:hanging="1560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-720"/>
          <w:tab w:val="left" w:leader="none" w:pos="284"/>
          <w:tab w:val="left" w:leader="none" w:pos="1134"/>
        </w:tabs>
        <w:ind w:left="284" w:hanging="284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3. Adoption du procès-verbal de l’AGA 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[année]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et présentation des suivis 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[… minutes]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-720"/>
          <w:tab w:val="left" w:leader="none" w:pos="1134"/>
          <w:tab w:val="left" w:leader="none" w:pos="1560"/>
        </w:tabs>
        <w:ind w:left="1560" w:hanging="1560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-720"/>
          <w:tab w:val="left" w:leader="none" w:pos="284"/>
          <w:tab w:val="left" w:leader="none" w:pos="1134"/>
        </w:tabs>
        <w:ind w:left="284" w:hanging="284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4. Présentation et adoption du Rapport annuel 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[année]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[… minutes]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-720"/>
          <w:tab w:val="left" w:leader="none" w:pos="1134"/>
          <w:tab w:val="left" w:leader="none" w:pos="1560"/>
        </w:tabs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-720"/>
          <w:tab w:val="left" w:leader="none" w:pos="284"/>
          <w:tab w:val="left" w:leader="none" w:pos="1134"/>
        </w:tabs>
        <w:ind w:left="284" w:hanging="284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5. Présentation et adoption des états financiers 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audités ou internes ou mission d’examen au [date de fin d’année financière] [… minutes]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-720"/>
          <w:tab w:val="left" w:leader="none" w:pos="1134"/>
          <w:tab w:val="left" w:leader="none" w:pos="1560"/>
        </w:tabs>
        <w:ind w:left="1560" w:hanging="1560"/>
        <w:jc w:val="both"/>
        <w:rPr>
          <w:rFonts w:ascii="Inter" w:cs="Inter" w:eastAsia="Inter" w:hAnsi="Inter"/>
          <w:color w:val="004b8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-720"/>
          <w:tab w:val="left" w:leader="none" w:pos="284"/>
          <w:tab w:val="left" w:leader="none" w:pos="1134"/>
        </w:tabs>
        <w:ind w:left="284" w:hanging="284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6. Nomination des auditeurs comptables pour 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[année]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[… minutes] si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-720"/>
          <w:tab w:val="left" w:leader="none" w:pos="1134"/>
          <w:tab w:val="left" w:leader="none" w:pos="1440"/>
        </w:tabs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-720"/>
          <w:tab w:val="left" w:leader="none" w:pos="284"/>
          <w:tab w:val="left" w:leader="none" w:pos="1134"/>
        </w:tabs>
        <w:ind w:left="284" w:hanging="284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7. Présentation et adoption du plan d’action 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[année]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[… minutes] si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-720"/>
          <w:tab w:val="left" w:leader="none" w:pos="1134"/>
          <w:tab w:val="left" w:leader="none" w:pos="1440"/>
        </w:tabs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-720"/>
          <w:tab w:val="left" w:leader="none" w:pos="284"/>
          <w:tab w:val="left" w:leader="none" w:pos="1134"/>
        </w:tabs>
        <w:ind w:left="284" w:hanging="284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8. Présentation et adoption du budget (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[année]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[… minutes] si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-720"/>
          <w:tab w:val="left" w:leader="none" w:pos="1134"/>
          <w:tab w:val="left" w:leader="none" w:pos="1440"/>
        </w:tabs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-720"/>
          <w:tab w:val="left" w:leader="none" w:pos="284"/>
          <w:tab w:val="left" w:leader="none" w:pos="1134"/>
        </w:tabs>
        <w:ind w:left="284" w:hanging="284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9. 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rtl w:val="0"/>
        </w:rPr>
        <w:t xml:space="preserve">Adoption des amendements aux 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statuts et règlements 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[… minutes] si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-720"/>
          <w:tab w:val="left" w:leader="none" w:pos="1134"/>
          <w:tab w:val="left" w:leader="none" w:pos="1440"/>
        </w:tabs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-720"/>
          <w:tab w:val="left" w:leader="none" w:pos="1134"/>
          <w:tab w:val="left" w:leader="none" w:pos="1560"/>
        </w:tabs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10. Élections et nominations au CA </w:t>
      </w: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 xml:space="preserve">(adapter à la composition de votre CA et aux modalités d’élections stipulées dans vos statuts et règlements).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tabs>
          <w:tab w:val="left" w:leader="none" w:pos="-720"/>
          <w:tab w:val="left" w:leader="none" w:pos="1134"/>
          <w:tab w:val="left" w:leader="none" w:pos="1560"/>
          <w:tab w:val="left" w:leader="none" w:pos="2160"/>
        </w:tabs>
        <w:ind w:left="1134" w:hanging="567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Choix d’une présidence d’élection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tabs>
          <w:tab w:val="left" w:leader="none" w:pos="-720"/>
          <w:tab w:val="left" w:leader="none" w:pos="1134"/>
          <w:tab w:val="left" w:leader="none" w:pos="1560"/>
          <w:tab w:val="left" w:leader="none" w:pos="2160"/>
        </w:tabs>
        <w:ind w:left="1134" w:hanging="567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Élection d’un ou des administrateurs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52"/>
        </w:tabs>
        <w:ind w:left="2549" w:hanging="340"/>
        <w:rPr>
          <w:rFonts w:ascii="Inter" w:cs="Inter" w:eastAsia="Inter" w:hAnsi="Inte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11.  Questions diverses 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[… minutes]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620"/>
        </w:tabs>
        <w:ind w:left="2467" w:hanging="340"/>
        <w:rPr>
          <w:rFonts w:ascii="Inter" w:cs="Inter" w:eastAsia="Inter" w:hAnsi="Inte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620"/>
        </w:tabs>
        <w:rPr>
          <w:rFonts w:ascii="Inter" w:cs="Inter" w:eastAsia="Inter" w:hAnsi="Inter"/>
          <w:color w:val="000000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rtl w:val="0"/>
        </w:rPr>
        <w:t xml:space="preserve">12. Clôture de l’assemblée</w:t>
      </w:r>
    </w:p>
    <w:p w:rsidR="00000000" w:rsidDel="00000000" w:rsidP="00000000" w:rsidRDefault="00000000" w:rsidRPr="00000000" w14:paraId="0000002B">
      <w:pPr>
        <w:tabs>
          <w:tab w:val="left" w:leader="none" w:pos="-720"/>
          <w:tab w:val="left" w:leader="none" w:pos="1134"/>
          <w:tab w:val="left" w:leader="none" w:pos="1560"/>
        </w:tabs>
        <w:ind w:left="1560" w:hanging="1560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</w:rPr>
        <w:drawing>
          <wp:inline distB="114300" distT="114300" distL="114300" distR="114300">
            <wp:extent cx="5486400" cy="73152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0"/>
      <w:numFmt w:val="decimal"/>
      <w:lvlText w:val="%1"/>
      <w:lvlJc w:val="left"/>
      <w:pPr>
        <w:ind w:left="468" w:hanging="468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36" w:hanging="468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0" w:hanging="1"/>
      <w:jc w:val="center"/>
    </w:pPr>
    <w:rPr>
      <w:rFonts w:ascii="Arial" w:cs="Arial" w:eastAsia="Arial" w:hAnsi="Arial"/>
      <w:b w:val="1"/>
      <w:bCs w:val="1"/>
      <w:sz w:val="36"/>
      <w:szCs w:val="36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+WheQB/liQLy/DBpSg96tIWsOA==">CgMxLjA4AHIhMWtmMzc0WkhuNHFtUDBpeGl5ZWhHY090QlZzSmZLbDRM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